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32"/>
          <w:szCs w:val="32"/>
          <w:lang w:eastAsia="zh-CN"/>
        </w:rPr>
      </w:pPr>
      <w:r>
        <w:rPr>
          <w:rFonts w:hint="eastAsia" w:asciiTheme="majorEastAsia" w:hAnsiTheme="majorEastAsia" w:eastAsiaTheme="majorEastAsia"/>
          <w:sz w:val="36"/>
          <w:szCs w:val="36"/>
          <w:lang w:val="en-US" w:eastAsia="zh-CN"/>
        </w:rPr>
        <w:t xml:space="preserve">  </w:t>
      </w:r>
      <w:r>
        <w:rPr>
          <w:rFonts w:hint="eastAsia" w:asciiTheme="majorEastAsia" w:hAnsiTheme="majorEastAsia" w:eastAsiaTheme="majorEastAsia"/>
          <w:b/>
          <w:sz w:val="32"/>
          <w:szCs w:val="32"/>
        </w:rPr>
        <w:t>北京市供销合作总社</w:t>
      </w:r>
      <w:r>
        <w:rPr>
          <w:rFonts w:hint="eastAsia" w:asciiTheme="majorEastAsia" w:hAnsiTheme="majorEastAsia" w:eastAsiaTheme="majorEastAsia"/>
          <w:b/>
          <w:sz w:val="32"/>
          <w:szCs w:val="32"/>
          <w:lang w:eastAsia="zh-CN"/>
        </w:rPr>
        <w:t>及所属事业单位</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20</w:t>
      </w:r>
      <w:r>
        <w:rPr>
          <w:rFonts w:hint="eastAsia" w:asciiTheme="majorEastAsia" w:hAnsiTheme="majorEastAsia" w:eastAsiaTheme="majorEastAsia"/>
          <w:b/>
          <w:sz w:val="32"/>
          <w:szCs w:val="32"/>
          <w:lang w:val="en-US" w:eastAsia="zh-CN"/>
        </w:rPr>
        <w:t>20</w:t>
      </w:r>
      <w:r>
        <w:rPr>
          <w:rFonts w:hint="eastAsia" w:asciiTheme="majorEastAsia" w:hAnsiTheme="majorEastAsia" w:eastAsiaTheme="majorEastAsia"/>
          <w:b/>
          <w:sz w:val="32"/>
          <w:szCs w:val="32"/>
        </w:rPr>
        <w:t>年财政预算信息</w:t>
      </w:r>
    </w:p>
    <w:p>
      <w:pPr>
        <w:jc w:val="center"/>
        <w:rPr>
          <w:rFonts w:asciiTheme="majorEastAsia" w:hAnsiTheme="majorEastAsia" w:eastAsiaTheme="majorEastAsia"/>
          <w:sz w:val="32"/>
          <w:szCs w:val="32"/>
        </w:rPr>
      </w:pPr>
    </w:p>
    <w:p>
      <w:pPr>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目   录</w:t>
      </w:r>
    </w:p>
    <w:p>
      <w:pPr>
        <w:spacing w:line="140" w:lineRule="atLeast"/>
        <w:rPr>
          <w:rFonts w:ascii="仿宋" w:hAnsi="仿宋" w:eastAsia="仿宋"/>
          <w:sz w:val="32"/>
          <w:szCs w:val="32"/>
        </w:rPr>
      </w:pPr>
    </w:p>
    <w:p>
      <w:pPr>
        <w:spacing w:line="140" w:lineRule="atLeast"/>
        <w:rPr>
          <w:rFonts w:ascii="仿宋" w:hAnsi="仿宋" w:eastAsia="仿宋"/>
          <w:sz w:val="32"/>
          <w:szCs w:val="32"/>
        </w:rPr>
      </w:pPr>
      <w:r>
        <w:rPr>
          <w:rFonts w:hint="eastAsia" w:ascii="仿宋" w:hAnsi="仿宋" w:eastAsia="仿宋"/>
          <w:sz w:val="32"/>
          <w:szCs w:val="32"/>
        </w:rPr>
        <w:t>第一部分</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年度部门预算情况</w:t>
      </w:r>
      <w:r>
        <w:rPr>
          <w:rFonts w:hint="eastAsia" w:ascii="仿宋" w:hAnsi="仿宋" w:eastAsia="仿宋"/>
          <w:sz w:val="32"/>
          <w:szCs w:val="32"/>
          <w:lang w:eastAsia="zh-CN"/>
        </w:rPr>
        <w:t>的</w:t>
      </w:r>
      <w:r>
        <w:rPr>
          <w:rFonts w:hint="eastAsia" w:ascii="仿宋" w:hAnsi="仿宋" w:eastAsia="仿宋"/>
          <w:sz w:val="32"/>
          <w:szCs w:val="32"/>
        </w:rPr>
        <w:t>说明</w:t>
      </w:r>
    </w:p>
    <w:p>
      <w:pPr>
        <w:spacing w:line="140" w:lineRule="atLeast"/>
        <w:ind w:firstLine="640" w:firstLineChars="200"/>
        <w:rPr>
          <w:rFonts w:ascii="仿宋" w:hAnsi="仿宋" w:eastAsia="仿宋"/>
          <w:sz w:val="32"/>
          <w:szCs w:val="32"/>
        </w:rPr>
      </w:pPr>
      <w:r>
        <w:rPr>
          <w:rFonts w:hint="eastAsia" w:ascii="仿宋" w:hAnsi="仿宋" w:eastAsia="仿宋"/>
          <w:sz w:val="32"/>
          <w:szCs w:val="32"/>
        </w:rPr>
        <w:t>一、部门基本情况</w:t>
      </w:r>
    </w:p>
    <w:p>
      <w:pPr>
        <w:spacing w:line="140" w:lineRule="atLeast"/>
        <w:ind w:firstLine="640" w:firstLineChars="200"/>
        <w:rPr>
          <w:rFonts w:ascii="仿宋" w:hAnsi="仿宋" w:eastAsia="仿宋"/>
          <w:sz w:val="32"/>
          <w:szCs w:val="32"/>
        </w:rPr>
      </w:pPr>
      <w:r>
        <w:rPr>
          <w:rFonts w:hint="eastAsia" w:ascii="仿宋" w:hAnsi="仿宋" w:eastAsia="仿宋"/>
          <w:sz w:val="32"/>
          <w:szCs w:val="32"/>
        </w:rPr>
        <w:t>二、20</w:t>
      </w:r>
      <w:r>
        <w:rPr>
          <w:rFonts w:hint="eastAsia" w:ascii="仿宋" w:hAnsi="仿宋" w:eastAsia="仿宋"/>
          <w:sz w:val="32"/>
          <w:szCs w:val="32"/>
          <w:lang w:val="en-US" w:eastAsia="zh-CN"/>
        </w:rPr>
        <w:t>20</w:t>
      </w:r>
      <w:r>
        <w:rPr>
          <w:rFonts w:hint="eastAsia" w:ascii="仿宋" w:hAnsi="仿宋" w:eastAsia="仿宋"/>
          <w:sz w:val="32"/>
          <w:szCs w:val="32"/>
        </w:rPr>
        <w:t>年收入及支出总体情况</w:t>
      </w:r>
    </w:p>
    <w:p>
      <w:pPr>
        <w:spacing w:line="140" w:lineRule="atLeast"/>
        <w:ind w:firstLine="640" w:firstLineChars="200"/>
        <w:rPr>
          <w:rFonts w:ascii="仿宋" w:hAnsi="仿宋" w:eastAsia="仿宋"/>
          <w:sz w:val="32"/>
          <w:szCs w:val="32"/>
        </w:rPr>
      </w:pPr>
      <w:r>
        <w:rPr>
          <w:rFonts w:hint="eastAsia" w:ascii="仿宋" w:hAnsi="仿宋" w:eastAsia="仿宋"/>
          <w:sz w:val="32"/>
          <w:szCs w:val="32"/>
        </w:rPr>
        <w:t>三、主要支出情况</w:t>
      </w:r>
    </w:p>
    <w:p>
      <w:pPr>
        <w:spacing w:line="140" w:lineRule="atLeast"/>
        <w:ind w:firstLine="640" w:firstLineChars="200"/>
        <w:rPr>
          <w:rFonts w:ascii="仿宋" w:hAnsi="仿宋" w:eastAsia="仿宋"/>
          <w:sz w:val="32"/>
          <w:szCs w:val="32"/>
        </w:rPr>
      </w:pPr>
      <w:r>
        <w:rPr>
          <w:rFonts w:hint="eastAsia" w:ascii="仿宋" w:hAnsi="仿宋" w:eastAsia="仿宋"/>
          <w:sz w:val="32"/>
          <w:szCs w:val="32"/>
        </w:rPr>
        <w:t>四、部门“三公”经费财政拨款预算说明</w:t>
      </w:r>
    </w:p>
    <w:p>
      <w:pPr>
        <w:spacing w:line="140" w:lineRule="atLeast"/>
        <w:ind w:firstLine="640" w:firstLineChars="200"/>
        <w:rPr>
          <w:rFonts w:ascii="仿宋" w:hAnsi="仿宋" w:eastAsia="仿宋"/>
          <w:sz w:val="32"/>
          <w:szCs w:val="32"/>
        </w:rPr>
      </w:pPr>
      <w:r>
        <w:rPr>
          <w:rFonts w:hint="eastAsia" w:ascii="仿宋" w:hAnsi="仿宋" w:eastAsia="仿宋"/>
          <w:sz w:val="32"/>
          <w:szCs w:val="32"/>
        </w:rPr>
        <w:t>五、其他情况说明</w:t>
      </w:r>
    </w:p>
    <w:p>
      <w:pPr>
        <w:spacing w:line="140" w:lineRule="atLeast"/>
        <w:ind w:firstLine="640" w:firstLineChars="200"/>
        <w:rPr>
          <w:rFonts w:ascii="仿宋" w:hAnsi="仿宋" w:eastAsia="仿宋"/>
          <w:sz w:val="32"/>
          <w:szCs w:val="32"/>
        </w:rPr>
      </w:pPr>
      <w:r>
        <w:rPr>
          <w:rFonts w:hint="eastAsia" w:ascii="仿宋" w:hAnsi="仿宋" w:eastAsia="仿宋"/>
          <w:sz w:val="32"/>
          <w:szCs w:val="32"/>
        </w:rPr>
        <w:t>六、名词解释</w:t>
      </w:r>
    </w:p>
    <w:p>
      <w:pPr>
        <w:spacing w:line="140" w:lineRule="atLeast"/>
        <w:rPr>
          <w:rFonts w:ascii="仿宋" w:hAnsi="仿宋" w:eastAsia="仿宋"/>
          <w:sz w:val="32"/>
          <w:szCs w:val="32"/>
        </w:rPr>
      </w:pPr>
      <w:r>
        <w:rPr>
          <w:rFonts w:hint="eastAsia" w:ascii="仿宋" w:hAnsi="仿宋" w:eastAsia="仿宋"/>
          <w:sz w:val="32"/>
          <w:szCs w:val="32"/>
        </w:rPr>
        <w:t>第二部分</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年度部门预算报表</w:t>
      </w:r>
    </w:p>
    <w:p>
      <w:pPr>
        <w:spacing w:line="140" w:lineRule="atLeast"/>
        <w:ind w:firstLine="640" w:firstLineChars="200"/>
        <w:rPr>
          <w:rFonts w:ascii="仿宋" w:hAnsi="仿宋" w:eastAsia="仿宋"/>
          <w:sz w:val="32"/>
          <w:szCs w:val="32"/>
        </w:rPr>
      </w:pPr>
      <w:r>
        <w:rPr>
          <w:rFonts w:hint="eastAsia" w:ascii="仿宋" w:hAnsi="仿宋" w:eastAsia="仿宋"/>
          <w:sz w:val="32"/>
          <w:szCs w:val="32"/>
        </w:rPr>
        <w:t>一、收支总表</w:t>
      </w:r>
    </w:p>
    <w:p>
      <w:pPr>
        <w:spacing w:line="140" w:lineRule="atLeast"/>
        <w:rPr>
          <w:rFonts w:ascii="仿宋" w:hAnsi="仿宋" w:eastAsia="仿宋"/>
          <w:sz w:val="32"/>
          <w:szCs w:val="32"/>
        </w:rPr>
      </w:pPr>
      <w:r>
        <w:rPr>
          <w:rFonts w:hint="eastAsia" w:ascii="仿宋" w:hAnsi="仿宋" w:eastAsia="仿宋"/>
          <w:sz w:val="32"/>
          <w:szCs w:val="32"/>
        </w:rPr>
        <w:t xml:space="preserve">    二、收入总表     </w:t>
      </w:r>
    </w:p>
    <w:p>
      <w:pPr>
        <w:spacing w:line="140" w:lineRule="atLeast"/>
        <w:ind w:firstLine="640"/>
        <w:rPr>
          <w:rFonts w:hint="eastAsia" w:ascii="仿宋" w:hAnsi="仿宋" w:eastAsia="仿宋"/>
          <w:sz w:val="32"/>
          <w:szCs w:val="32"/>
        </w:rPr>
      </w:pPr>
      <w:r>
        <w:rPr>
          <w:rFonts w:hint="eastAsia" w:ascii="仿宋" w:hAnsi="仿宋" w:eastAsia="仿宋"/>
          <w:sz w:val="32"/>
          <w:szCs w:val="32"/>
        </w:rPr>
        <w:t>三、支出总表</w:t>
      </w:r>
    </w:p>
    <w:p>
      <w:pPr>
        <w:spacing w:line="140" w:lineRule="atLeast"/>
        <w:ind w:firstLine="640"/>
        <w:rPr>
          <w:rFonts w:ascii="仿宋" w:hAnsi="仿宋" w:eastAsia="仿宋"/>
          <w:sz w:val="32"/>
          <w:szCs w:val="32"/>
        </w:rPr>
      </w:pPr>
      <w:r>
        <w:rPr>
          <w:rFonts w:hint="eastAsia" w:ascii="仿宋" w:hAnsi="仿宋" w:eastAsia="仿宋"/>
          <w:sz w:val="32"/>
          <w:szCs w:val="32"/>
        </w:rPr>
        <w:t>四、政府采购预算明细表</w:t>
      </w:r>
    </w:p>
    <w:p>
      <w:pPr>
        <w:spacing w:line="140" w:lineRule="atLeast"/>
        <w:ind w:firstLine="640" w:firstLineChars="200"/>
        <w:rPr>
          <w:rFonts w:ascii="仿宋" w:hAnsi="仿宋" w:eastAsia="仿宋"/>
          <w:sz w:val="32"/>
          <w:szCs w:val="32"/>
        </w:rPr>
      </w:pPr>
      <w:r>
        <w:rPr>
          <w:rFonts w:hint="eastAsia" w:ascii="仿宋" w:hAnsi="仿宋" w:eastAsia="仿宋"/>
          <w:sz w:val="32"/>
          <w:szCs w:val="32"/>
        </w:rPr>
        <w:t xml:space="preserve">五、财政拨款收支总表  </w:t>
      </w:r>
    </w:p>
    <w:p>
      <w:pPr>
        <w:spacing w:line="140" w:lineRule="atLeast"/>
        <w:ind w:firstLine="640"/>
        <w:rPr>
          <w:rFonts w:hint="eastAsia" w:ascii="仿宋" w:hAnsi="仿宋" w:eastAsia="仿宋"/>
          <w:sz w:val="32"/>
          <w:szCs w:val="32"/>
        </w:rPr>
      </w:pPr>
      <w:r>
        <w:rPr>
          <w:rFonts w:hint="eastAsia" w:ascii="仿宋" w:hAnsi="仿宋" w:eastAsia="仿宋"/>
          <w:sz w:val="32"/>
          <w:szCs w:val="32"/>
        </w:rPr>
        <w:t xml:space="preserve">六、一般公共预算财政拨款支出表    </w:t>
      </w:r>
    </w:p>
    <w:p>
      <w:pPr>
        <w:spacing w:line="140" w:lineRule="atLeast"/>
        <w:ind w:firstLine="640"/>
        <w:rPr>
          <w:rFonts w:ascii="仿宋" w:hAnsi="仿宋" w:eastAsia="仿宋"/>
          <w:sz w:val="32"/>
          <w:szCs w:val="32"/>
        </w:rPr>
      </w:pPr>
      <w:r>
        <w:rPr>
          <w:rFonts w:hint="eastAsia" w:ascii="仿宋" w:hAnsi="仿宋" w:eastAsia="仿宋"/>
          <w:sz w:val="32"/>
          <w:szCs w:val="32"/>
        </w:rPr>
        <w:t>七、一般公共预算财政拨款基本支出表</w:t>
      </w:r>
    </w:p>
    <w:p>
      <w:pPr>
        <w:spacing w:line="140" w:lineRule="atLeast"/>
        <w:ind w:firstLine="640" w:firstLineChars="200"/>
        <w:rPr>
          <w:rFonts w:ascii="仿宋" w:hAnsi="仿宋" w:eastAsia="仿宋"/>
          <w:sz w:val="32"/>
          <w:szCs w:val="32"/>
        </w:rPr>
      </w:pPr>
      <w:r>
        <w:rPr>
          <w:rFonts w:hint="eastAsia" w:ascii="仿宋" w:hAnsi="仿宋" w:eastAsia="仿宋"/>
          <w:sz w:val="32"/>
          <w:szCs w:val="32"/>
        </w:rPr>
        <w:t>八、一般公共预算财政拨款项目支出表</w:t>
      </w:r>
    </w:p>
    <w:p>
      <w:pPr>
        <w:spacing w:line="140" w:lineRule="atLeast"/>
        <w:ind w:firstLine="640" w:firstLineChars="200"/>
        <w:rPr>
          <w:rFonts w:ascii="仿宋" w:hAnsi="仿宋" w:eastAsia="仿宋"/>
          <w:sz w:val="32"/>
          <w:szCs w:val="32"/>
        </w:rPr>
      </w:pPr>
      <w:r>
        <w:rPr>
          <w:rFonts w:hint="eastAsia" w:ascii="仿宋" w:hAnsi="仿宋" w:eastAsia="仿宋"/>
          <w:sz w:val="32"/>
          <w:szCs w:val="32"/>
        </w:rPr>
        <w:t>九、政府性基金预算财政拨款支出表</w:t>
      </w:r>
    </w:p>
    <w:p>
      <w:pPr>
        <w:spacing w:line="140" w:lineRule="atLeast"/>
        <w:ind w:firstLine="640" w:firstLineChars="200"/>
        <w:rPr>
          <w:rFonts w:ascii="仿宋" w:hAnsi="仿宋" w:eastAsia="仿宋"/>
          <w:sz w:val="32"/>
          <w:szCs w:val="32"/>
        </w:rPr>
      </w:pPr>
      <w:r>
        <w:rPr>
          <w:rFonts w:hint="eastAsia" w:ascii="仿宋" w:hAnsi="仿宋" w:eastAsia="仿宋"/>
          <w:sz w:val="32"/>
          <w:szCs w:val="32"/>
        </w:rPr>
        <w:t>十、财政拨款（含一般公共预算和政府性基金预算）“三公”经费支出表</w:t>
      </w:r>
    </w:p>
    <w:p>
      <w:pPr>
        <w:spacing w:line="140" w:lineRule="atLeast"/>
        <w:ind w:firstLine="640" w:firstLineChars="200"/>
        <w:rPr>
          <w:rFonts w:ascii="仿宋" w:hAnsi="仿宋" w:eastAsia="仿宋"/>
          <w:sz w:val="32"/>
          <w:szCs w:val="32"/>
        </w:rPr>
      </w:pPr>
      <w:r>
        <w:rPr>
          <w:rFonts w:hint="eastAsia" w:ascii="仿宋" w:hAnsi="仿宋" w:eastAsia="仿宋"/>
          <w:sz w:val="32"/>
          <w:szCs w:val="32"/>
        </w:rPr>
        <w:t>十一、政府购买服务预算财政拨款明细表</w:t>
      </w:r>
    </w:p>
    <w:p>
      <w:pPr>
        <w:spacing w:line="140" w:lineRule="atLeast"/>
        <w:ind w:firstLine="640" w:firstLineChars="200"/>
        <w:jc w:val="left"/>
        <w:rPr>
          <w:rFonts w:hint="eastAsia" w:ascii="仿宋" w:hAnsi="仿宋" w:eastAsia="仿宋"/>
          <w:sz w:val="32"/>
          <w:szCs w:val="32"/>
          <w:lang w:eastAsia="zh-CN"/>
        </w:rPr>
      </w:pPr>
      <w:r>
        <w:rPr>
          <w:rFonts w:hint="eastAsia" w:ascii="仿宋" w:hAnsi="仿宋" w:eastAsia="仿宋"/>
          <w:sz w:val="32"/>
          <w:szCs w:val="32"/>
        </w:rPr>
        <w:t>十二、</w:t>
      </w:r>
      <w:r>
        <w:rPr>
          <w:rFonts w:hint="eastAsia" w:ascii="仿宋" w:hAnsi="仿宋" w:eastAsia="仿宋"/>
          <w:sz w:val="32"/>
          <w:szCs w:val="32"/>
          <w:lang w:eastAsia="zh-CN"/>
        </w:rPr>
        <w:t>部门整体支出绩效目标申报表</w:t>
      </w:r>
    </w:p>
    <w:p>
      <w:pPr>
        <w:spacing w:line="140" w:lineRule="atLeast"/>
        <w:ind w:firstLine="640" w:firstLineChars="200"/>
        <w:jc w:val="left"/>
        <w:rPr>
          <w:rFonts w:ascii="仿宋" w:hAnsi="仿宋" w:eastAsia="仿宋"/>
          <w:sz w:val="32"/>
          <w:szCs w:val="32"/>
        </w:rPr>
      </w:pPr>
      <w:r>
        <w:rPr>
          <w:rFonts w:hint="eastAsia" w:ascii="仿宋" w:hAnsi="仿宋" w:eastAsia="仿宋"/>
          <w:sz w:val="32"/>
          <w:szCs w:val="32"/>
          <w:lang w:eastAsia="zh-CN"/>
        </w:rPr>
        <w:t>十三、</w:t>
      </w:r>
      <w:r>
        <w:rPr>
          <w:rFonts w:hint="eastAsia" w:ascii="仿宋" w:hAnsi="仿宋" w:eastAsia="仿宋"/>
          <w:sz w:val="32"/>
          <w:szCs w:val="32"/>
        </w:rPr>
        <w:t>项目支出绩效目标申报表</w:t>
      </w:r>
    </w:p>
    <w:p>
      <w:pPr>
        <w:jc w:val="center"/>
        <w:rPr>
          <w:rFonts w:asciiTheme="majorEastAsia" w:hAnsiTheme="majorEastAsia" w:eastAsiaTheme="majorEastAsia"/>
          <w:sz w:val="36"/>
          <w:szCs w:val="36"/>
        </w:rPr>
      </w:pPr>
    </w:p>
    <w:p>
      <w:pPr>
        <w:numPr>
          <w:ilvl w:val="0"/>
          <w:numId w:val="0"/>
        </w:numPr>
        <w:jc w:val="both"/>
        <w:rPr>
          <w:rFonts w:hint="eastAsia" w:asciiTheme="majorEastAsia" w:hAnsiTheme="majorEastAsia" w:eastAsiaTheme="majorEastAsia"/>
          <w:sz w:val="36"/>
          <w:szCs w:val="36"/>
          <w:lang w:val="en-US" w:eastAsia="zh-CN"/>
        </w:rPr>
      </w:pPr>
      <w:r>
        <w:rPr>
          <w:rFonts w:hint="eastAsia" w:asciiTheme="majorEastAsia" w:hAnsiTheme="majorEastAsia" w:eastAsiaTheme="majorEastAsia"/>
          <w:sz w:val="36"/>
          <w:szCs w:val="36"/>
          <w:lang w:val="en-US" w:eastAsia="zh-CN"/>
        </w:rPr>
        <w:t xml:space="preserve">   </w:t>
      </w:r>
    </w:p>
    <w:p>
      <w:pPr>
        <w:numPr>
          <w:ilvl w:val="0"/>
          <w:numId w:val="0"/>
        </w:numPr>
        <w:ind w:firstLine="1440" w:firstLineChars="400"/>
        <w:jc w:val="both"/>
        <w:rPr>
          <w:rFonts w:hint="eastAsia" w:ascii="黑体" w:hAnsi="黑体" w:eastAsia="黑体" w:cs="黑体"/>
          <w:sz w:val="36"/>
          <w:szCs w:val="36"/>
          <w:lang w:eastAsia="zh-CN"/>
        </w:rPr>
      </w:pPr>
    </w:p>
    <w:p>
      <w:pPr>
        <w:numPr>
          <w:ilvl w:val="0"/>
          <w:numId w:val="0"/>
        </w:numPr>
        <w:ind w:firstLine="1440" w:firstLineChars="400"/>
        <w:jc w:val="both"/>
        <w:rPr>
          <w:rFonts w:hint="eastAsia" w:ascii="黑体" w:hAnsi="黑体" w:eastAsia="黑体" w:cs="黑体"/>
          <w:sz w:val="36"/>
          <w:szCs w:val="36"/>
          <w:lang w:eastAsia="zh-CN"/>
        </w:rPr>
      </w:pPr>
    </w:p>
    <w:p>
      <w:pPr>
        <w:numPr>
          <w:ilvl w:val="0"/>
          <w:numId w:val="0"/>
        </w:numPr>
        <w:ind w:firstLine="1440" w:firstLineChars="400"/>
        <w:jc w:val="both"/>
        <w:rPr>
          <w:rFonts w:hint="eastAsia" w:ascii="黑体" w:hAnsi="黑体" w:eastAsia="黑体" w:cs="黑体"/>
          <w:sz w:val="36"/>
          <w:szCs w:val="36"/>
          <w:lang w:eastAsia="zh-CN"/>
        </w:rPr>
      </w:pPr>
    </w:p>
    <w:p>
      <w:pPr>
        <w:numPr>
          <w:ilvl w:val="0"/>
          <w:numId w:val="0"/>
        </w:numPr>
        <w:ind w:firstLine="1440" w:firstLineChars="400"/>
        <w:jc w:val="both"/>
        <w:rPr>
          <w:rFonts w:hint="eastAsia" w:ascii="黑体" w:hAnsi="黑体" w:eastAsia="黑体" w:cs="黑体"/>
          <w:sz w:val="36"/>
          <w:szCs w:val="36"/>
          <w:lang w:eastAsia="zh-CN"/>
        </w:rPr>
      </w:pPr>
    </w:p>
    <w:p>
      <w:pPr>
        <w:numPr>
          <w:ilvl w:val="0"/>
          <w:numId w:val="0"/>
        </w:numPr>
        <w:ind w:firstLine="1440" w:firstLineChars="400"/>
        <w:jc w:val="both"/>
        <w:rPr>
          <w:rFonts w:hint="eastAsia" w:ascii="黑体" w:hAnsi="黑体" w:eastAsia="黑体" w:cs="黑体"/>
          <w:sz w:val="36"/>
          <w:szCs w:val="36"/>
          <w:lang w:eastAsia="zh-CN"/>
        </w:rPr>
      </w:pPr>
    </w:p>
    <w:p>
      <w:pPr>
        <w:numPr>
          <w:ilvl w:val="0"/>
          <w:numId w:val="0"/>
        </w:numPr>
        <w:ind w:firstLine="1440" w:firstLineChars="400"/>
        <w:jc w:val="both"/>
        <w:rPr>
          <w:rFonts w:hint="eastAsia" w:ascii="黑体" w:hAnsi="黑体" w:eastAsia="黑体" w:cs="黑体"/>
          <w:sz w:val="36"/>
          <w:szCs w:val="36"/>
          <w:lang w:eastAsia="zh-CN"/>
        </w:rPr>
      </w:pPr>
    </w:p>
    <w:p>
      <w:pPr>
        <w:numPr>
          <w:ilvl w:val="0"/>
          <w:numId w:val="0"/>
        </w:numPr>
        <w:ind w:firstLine="1440" w:firstLineChars="400"/>
        <w:jc w:val="both"/>
        <w:rPr>
          <w:rFonts w:hint="eastAsia" w:ascii="黑体" w:hAnsi="黑体" w:eastAsia="黑体" w:cs="黑体"/>
          <w:sz w:val="36"/>
          <w:szCs w:val="36"/>
          <w:lang w:eastAsia="zh-CN"/>
        </w:rPr>
      </w:pPr>
    </w:p>
    <w:p>
      <w:pPr>
        <w:numPr>
          <w:ilvl w:val="0"/>
          <w:numId w:val="0"/>
        </w:numPr>
        <w:ind w:firstLine="1440" w:firstLineChars="400"/>
        <w:jc w:val="both"/>
        <w:rPr>
          <w:rFonts w:hint="eastAsia" w:ascii="黑体" w:hAnsi="黑体" w:eastAsia="黑体" w:cs="黑体"/>
          <w:sz w:val="36"/>
          <w:szCs w:val="36"/>
          <w:lang w:eastAsia="zh-CN"/>
        </w:rPr>
      </w:pPr>
    </w:p>
    <w:p>
      <w:pPr>
        <w:numPr>
          <w:ilvl w:val="0"/>
          <w:numId w:val="0"/>
        </w:numPr>
        <w:ind w:firstLine="1440" w:firstLineChars="400"/>
        <w:jc w:val="both"/>
        <w:rPr>
          <w:rFonts w:hint="eastAsia" w:ascii="黑体" w:hAnsi="黑体" w:eastAsia="黑体" w:cs="黑体"/>
          <w:sz w:val="36"/>
          <w:szCs w:val="36"/>
          <w:lang w:eastAsia="zh-CN"/>
        </w:rPr>
      </w:pPr>
    </w:p>
    <w:p>
      <w:pPr>
        <w:numPr>
          <w:ilvl w:val="0"/>
          <w:numId w:val="0"/>
        </w:numPr>
        <w:ind w:firstLine="1440" w:firstLineChars="400"/>
        <w:jc w:val="both"/>
        <w:rPr>
          <w:rFonts w:hint="eastAsia" w:ascii="黑体" w:hAnsi="黑体" w:eastAsia="黑体" w:cs="黑体"/>
          <w:sz w:val="36"/>
          <w:szCs w:val="36"/>
          <w:lang w:eastAsia="zh-CN"/>
        </w:rPr>
      </w:pPr>
    </w:p>
    <w:p>
      <w:pPr>
        <w:numPr>
          <w:ilvl w:val="0"/>
          <w:numId w:val="0"/>
        </w:numPr>
        <w:ind w:firstLine="1440" w:firstLineChars="400"/>
        <w:jc w:val="both"/>
        <w:rPr>
          <w:rFonts w:hint="eastAsia" w:ascii="黑体" w:hAnsi="黑体" w:eastAsia="黑体" w:cs="黑体"/>
          <w:sz w:val="36"/>
          <w:szCs w:val="36"/>
          <w:lang w:eastAsia="zh-CN"/>
        </w:rPr>
      </w:pPr>
    </w:p>
    <w:p>
      <w:pPr>
        <w:numPr>
          <w:ilvl w:val="0"/>
          <w:numId w:val="0"/>
        </w:numPr>
        <w:ind w:firstLine="1440" w:firstLineChars="400"/>
        <w:jc w:val="both"/>
        <w:rPr>
          <w:rFonts w:hint="eastAsia" w:ascii="黑体" w:hAnsi="黑体" w:eastAsia="黑体" w:cs="黑体"/>
          <w:sz w:val="36"/>
          <w:szCs w:val="36"/>
          <w:lang w:eastAsia="zh-CN"/>
        </w:rPr>
      </w:pPr>
    </w:p>
    <w:p>
      <w:pPr>
        <w:numPr>
          <w:ilvl w:val="0"/>
          <w:numId w:val="0"/>
        </w:numPr>
        <w:ind w:firstLine="1440" w:firstLineChars="400"/>
        <w:jc w:val="both"/>
        <w:rPr>
          <w:rFonts w:hint="eastAsia" w:ascii="黑体" w:hAnsi="黑体" w:eastAsia="黑体" w:cs="黑体"/>
          <w:sz w:val="36"/>
          <w:szCs w:val="36"/>
          <w:lang w:eastAsia="zh-CN"/>
        </w:rPr>
      </w:pPr>
    </w:p>
    <w:p>
      <w:pPr>
        <w:numPr>
          <w:ilvl w:val="0"/>
          <w:numId w:val="0"/>
        </w:numPr>
        <w:ind w:firstLine="1440" w:firstLineChars="400"/>
        <w:jc w:val="both"/>
        <w:rPr>
          <w:rFonts w:hint="eastAsia" w:ascii="黑体" w:hAnsi="黑体" w:eastAsia="黑体" w:cs="黑体"/>
          <w:sz w:val="36"/>
          <w:szCs w:val="36"/>
          <w:lang w:eastAsia="zh-CN"/>
        </w:rPr>
      </w:pPr>
    </w:p>
    <w:p>
      <w:pPr>
        <w:numPr>
          <w:ilvl w:val="0"/>
          <w:numId w:val="0"/>
        </w:numPr>
        <w:ind w:firstLine="1440" w:firstLineChars="400"/>
        <w:jc w:val="both"/>
        <w:rPr>
          <w:rFonts w:hint="eastAsia" w:ascii="黑体" w:hAnsi="黑体" w:eastAsia="黑体" w:cs="黑体"/>
          <w:sz w:val="36"/>
          <w:szCs w:val="36"/>
          <w:lang w:eastAsia="zh-CN"/>
        </w:rPr>
      </w:pPr>
    </w:p>
    <w:p>
      <w:pPr>
        <w:numPr>
          <w:ilvl w:val="0"/>
          <w:numId w:val="0"/>
        </w:numPr>
        <w:ind w:firstLine="1440" w:firstLineChars="400"/>
        <w:jc w:val="both"/>
        <w:rPr>
          <w:rFonts w:asciiTheme="majorEastAsia" w:hAnsiTheme="majorEastAsia" w:eastAsiaTheme="majorEastAsia"/>
          <w:sz w:val="36"/>
          <w:szCs w:val="36"/>
        </w:rPr>
      </w:pPr>
      <w:r>
        <w:rPr>
          <w:rFonts w:hint="eastAsia" w:ascii="黑体" w:hAnsi="黑体" w:eastAsia="黑体" w:cs="黑体"/>
          <w:sz w:val="36"/>
          <w:szCs w:val="36"/>
          <w:lang w:eastAsia="zh-CN"/>
        </w:rPr>
        <w:t>第一部分</w:t>
      </w:r>
      <w:r>
        <w:rPr>
          <w:rFonts w:hint="eastAsia" w:asciiTheme="majorEastAsia" w:hAnsiTheme="majorEastAsia" w:eastAsiaTheme="majorEastAsia"/>
          <w:sz w:val="36"/>
          <w:szCs w:val="36"/>
        </w:rPr>
        <w:t xml:space="preserve">  </w:t>
      </w:r>
      <w:r>
        <w:rPr>
          <w:rFonts w:hint="eastAsia" w:ascii="黑体" w:hAnsi="黑体" w:eastAsia="黑体" w:cs="黑体"/>
          <w:sz w:val="36"/>
          <w:szCs w:val="36"/>
        </w:rPr>
        <w:t>20</w:t>
      </w:r>
      <w:r>
        <w:rPr>
          <w:rFonts w:hint="eastAsia" w:ascii="黑体" w:hAnsi="黑体" w:eastAsia="黑体" w:cs="黑体"/>
          <w:sz w:val="36"/>
          <w:szCs w:val="36"/>
          <w:lang w:val="en-US" w:eastAsia="zh-CN"/>
        </w:rPr>
        <w:t>20</w:t>
      </w:r>
      <w:r>
        <w:rPr>
          <w:rFonts w:hint="eastAsia" w:ascii="黑体" w:hAnsi="黑体" w:eastAsia="黑体" w:cs="黑体"/>
          <w:sz w:val="36"/>
          <w:szCs w:val="36"/>
        </w:rPr>
        <w:t>年部门预算情况</w:t>
      </w:r>
      <w:r>
        <w:rPr>
          <w:rFonts w:hint="eastAsia" w:ascii="黑体" w:hAnsi="黑体" w:eastAsia="黑体" w:cs="黑体"/>
          <w:sz w:val="36"/>
          <w:szCs w:val="36"/>
          <w:lang w:eastAsia="zh-CN"/>
        </w:rPr>
        <w:t>的</w:t>
      </w:r>
      <w:r>
        <w:rPr>
          <w:rFonts w:hint="eastAsia" w:ascii="黑体" w:hAnsi="黑体" w:eastAsia="黑体" w:cs="黑体"/>
          <w:sz w:val="36"/>
          <w:szCs w:val="36"/>
        </w:rPr>
        <w:t>说明</w:t>
      </w:r>
    </w:p>
    <w:p>
      <w:pPr>
        <w:rPr>
          <w:rFonts w:hint="eastAsia" w:asciiTheme="majorEastAsia" w:hAnsiTheme="majorEastAsia" w:eastAsiaTheme="majorEastAsia" w:cstheme="majorEastAsia"/>
          <w:sz w:val="36"/>
          <w:szCs w:val="36"/>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一、部门基本情况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一）部门机构设置、职责</w:t>
      </w:r>
    </w:p>
    <w:p>
      <w:pPr>
        <w:ind w:firstLine="555"/>
        <w:rPr>
          <w:rFonts w:hint="eastAsia" w:ascii="仿宋" w:hAnsi="仿宋" w:eastAsia="仿宋" w:cs="仿宋"/>
          <w:sz w:val="32"/>
          <w:szCs w:val="32"/>
        </w:rPr>
      </w:pPr>
      <w:r>
        <w:rPr>
          <w:rFonts w:hint="eastAsia" w:ascii="仿宋" w:hAnsi="仿宋" w:eastAsia="仿宋" w:cs="仿宋"/>
          <w:sz w:val="32"/>
          <w:szCs w:val="32"/>
        </w:rPr>
        <w:t>1．部门主要职责：北京市供销合作总社是全市供销合作社的领导机构和市级社社有资产的管理机构，主要履行系统行业指导和市级社社有资产出资人代表职能。作为党和政府密切联系农民群众的桥梁纽带和推动“三农”工作的重要载体，市供销社坚持为农、务农、姓农，积极发展都市型现代农业和城乡一体化建设，在首都经济社会发展中发挥着日益重要的作用。市社长期接受市政府委托，承担着代市政府储备农业生产资料、防汛应急物资、国家及本市重大活动果品供应任务及烟花储运任务。新时期，市社将按照党和国家对供销合作社提出的新的要求，加快贯彻落实中共中央、国务院《关于深化供销合作社综合改革的决定》和北京市人民政府《深化北京市供销合作社综合改革实施方案》，继续坚持为农服务根本宗旨，坚持合作制基本原则，坚持社会主义市场经济改革方向，坚持因地制宜、分类指导，围绕首都核心功能定位，紧抓发展机遇、不断深化改革，统筹配置资源，加快结构调整，进一步发挥主渠道作用，提升服务功能，把供销合作社打造成为服务城乡居民生产生活的生力军和综合平台，为首都城乡提供多领域、多层次、多样化的综合服务，全力打造具有北京特色的“高精尖”新型城市供销社，全面开创北京供销合作事业新局面！</w:t>
      </w:r>
    </w:p>
    <w:p>
      <w:pPr>
        <w:ind w:firstLine="555"/>
        <w:rPr>
          <w:rFonts w:hint="eastAsia" w:ascii="仿宋" w:hAnsi="仿宋" w:eastAsia="仿宋" w:cs="仿宋"/>
          <w:sz w:val="32"/>
          <w:szCs w:val="32"/>
        </w:rPr>
      </w:pPr>
      <w:r>
        <w:rPr>
          <w:rFonts w:hint="eastAsia" w:ascii="仿宋" w:hAnsi="仿宋" w:eastAsia="仿宋" w:cs="仿宋"/>
          <w:sz w:val="32"/>
          <w:szCs w:val="32"/>
        </w:rPr>
        <w:t>2．机构情况及增减变动原因: 北京市供销合作总社有</w:t>
      </w:r>
      <w:r>
        <w:rPr>
          <w:rFonts w:hint="eastAsia" w:ascii="仿宋" w:hAnsi="仿宋" w:eastAsia="仿宋" w:cs="仿宋"/>
          <w:sz w:val="32"/>
          <w:szCs w:val="32"/>
          <w:lang w:val="en-US" w:eastAsia="zh-CN"/>
        </w:rPr>
        <w:t>4</w:t>
      </w:r>
      <w:r>
        <w:rPr>
          <w:rFonts w:hint="eastAsia" w:ascii="仿宋" w:hAnsi="仿宋" w:eastAsia="仿宋" w:cs="仿宋"/>
          <w:sz w:val="32"/>
          <w:szCs w:val="32"/>
        </w:rPr>
        <w:t>个部门</w:t>
      </w:r>
      <w:r>
        <w:rPr>
          <w:rFonts w:hint="eastAsia" w:ascii="仿宋" w:hAnsi="仿宋" w:eastAsia="仿宋" w:cs="仿宋"/>
          <w:sz w:val="32"/>
          <w:szCs w:val="32"/>
          <w:lang w:eastAsia="zh-CN"/>
        </w:rPr>
        <w:t>预</w:t>
      </w:r>
      <w:r>
        <w:rPr>
          <w:rFonts w:hint="eastAsia" w:ascii="仿宋" w:hAnsi="仿宋" w:eastAsia="仿宋" w:cs="仿宋"/>
          <w:sz w:val="32"/>
          <w:szCs w:val="32"/>
        </w:rPr>
        <w:t>算二级单位，分别是北京市供销合作总社本级（135202），北京市经贸高级技术学校（135203），北京市供销学校（135204）和北京市供销干部学校（135205）。其中市供销社本级享受财政定额补助，其他</w:t>
      </w:r>
      <w:r>
        <w:rPr>
          <w:rFonts w:hint="eastAsia" w:ascii="仿宋" w:hAnsi="仿宋" w:eastAsia="仿宋" w:cs="仿宋"/>
          <w:sz w:val="32"/>
          <w:szCs w:val="32"/>
          <w:lang w:val="en-US" w:eastAsia="zh-CN"/>
        </w:rPr>
        <w:t>3</w:t>
      </w:r>
      <w:r>
        <w:rPr>
          <w:rFonts w:hint="eastAsia" w:ascii="仿宋" w:hAnsi="仿宋" w:eastAsia="仿宋" w:cs="仿宋"/>
          <w:sz w:val="32"/>
          <w:szCs w:val="32"/>
        </w:rPr>
        <w:t>个单位全部为全额拨款事业单位，与去年相比，没有变化。</w:t>
      </w:r>
    </w:p>
    <w:p>
      <w:pPr>
        <w:ind w:firstLine="555"/>
        <w:rPr>
          <w:rFonts w:hint="eastAsia" w:ascii="仿宋" w:hAnsi="仿宋" w:eastAsia="仿宋" w:cs="仿宋"/>
          <w:sz w:val="32"/>
          <w:szCs w:val="32"/>
        </w:rPr>
      </w:pPr>
      <w:r>
        <w:rPr>
          <w:rFonts w:hint="eastAsia" w:ascii="仿宋" w:hAnsi="仿宋" w:eastAsia="仿宋" w:cs="仿宋"/>
          <w:sz w:val="32"/>
          <w:szCs w:val="32"/>
        </w:rPr>
        <w:t>（二）人员构成情况</w:t>
      </w:r>
    </w:p>
    <w:p>
      <w:pPr>
        <w:ind w:firstLine="555"/>
        <w:rPr>
          <w:rFonts w:hint="eastAsia" w:ascii="仿宋" w:hAnsi="仿宋" w:eastAsia="仿宋" w:cs="仿宋"/>
          <w:sz w:val="32"/>
          <w:szCs w:val="32"/>
        </w:rPr>
      </w:pPr>
      <w:r>
        <w:rPr>
          <w:rFonts w:hint="eastAsia" w:ascii="仿宋" w:hAnsi="仿宋" w:eastAsia="仿宋" w:cs="仿宋"/>
          <w:sz w:val="32"/>
          <w:szCs w:val="32"/>
        </w:rPr>
        <w:t>北京市供销合作总社部门行政编制0人，实际0人；事业编制393人，实际214人；聘用人员24人。离退休人员131人，其中：离休5人，退休126人。</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（三）</w:t>
      </w:r>
      <w:r>
        <w:rPr>
          <w:rFonts w:hint="eastAsia" w:ascii="仿宋" w:hAnsi="仿宋" w:eastAsia="仿宋" w:cs="仿宋"/>
          <w:sz w:val="32"/>
          <w:szCs w:val="32"/>
        </w:rPr>
        <w:t>本预算年度的主要工作任务</w:t>
      </w:r>
    </w:p>
    <w:p>
      <w:pPr>
        <w:ind w:firstLine="555"/>
        <w:rPr>
          <w:rFonts w:hint="eastAsia" w:ascii="仿宋" w:hAnsi="仿宋" w:eastAsia="仿宋" w:cs="仿宋"/>
          <w:sz w:val="32"/>
          <w:szCs w:val="32"/>
          <w:lang w:eastAsia="zh-CN"/>
        </w:rPr>
      </w:pPr>
      <w:r>
        <w:rPr>
          <w:rFonts w:hint="eastAsia" w:ascii="仿宋" w:hAnsi="仿宋" w:eastAsia="仿宋" w:cs="仿宋"/>
          <w:sz w:val="32"/>
          <w:szCs w:val="32"/>
        </w:rPr>
        <w:t>北京市供销合作总社</w:t>
      </w:r>
      <w:r>
        <w:rPr>
          <w:rFonts w:hint="eastAsia" w:ascii="仿宋" w:hAnsi="仿宋" w:eastAsia="仿宋" w:cs="仿宋"/>
          <w:sz w:val="32"/>
          <w:szCs w:val="32"/>
          <w:lang w:val="en-US" w:eastAsia="zh-CN"/>
        </w:rPr>
        <w:t>2020</w:t>
      </w:r>
      <w:r>
        <w:rPr>
          <w:rFonts w:hint="eastAsia" w:ascii="仿宋" w:hAnsi="仿宋" w:eastAsia="仿宋" w:cs="仿宋"/>
          <w:sz w:val="32"/>
          <w:szCs w:val="32"/>
        </w:rPr>
        <w:t>年的主要任务是：落实市委市政府要求，加强为“三农”服务功能，做好农业生产资料的储备及供应。进一步深化改革，为首都经济发展和城乡居民生产生活服务，为京津冀一体化协同发展服务</w:t>
      </w:r>
      <w:r>
        <w:rPr>
          <w:rFonts w:hint="eastAsia" w:ascii="仿宋" w:hAnsi="仿宋" w:eastAsia="仿宋" w:cs="仿宋"/>
          <w:sz w:val="32"/>
          <w:szCs w:val="32"/>
          <w:lang w:eastAsia="zh-CN"/>
        </w:rPr>
        <w:t>，重新擦亮“首都供销社”的金字招牌。</w:t>
      </w:r>
    </w:p>
    <w:p>
      <w:pPr>
        <w:ind w:firstLine="555"/>
        <w:rPr>
          <w:rFonts w:hint="eastAsia" w:ascii="仿宋" w:hAnsi="仿宋" w:eastAsia="仿宋" w:cs="仿宋"/>
          <w:sz w:val="32"/>
          <w:szCs w:val="32"/>
        </w:rPr>
      </w:pPr>
      <w:r>
        <w:rPr>
          <w:rFonts w:hint="eastAsia" w:ascii="仿宋" w:hAnsi="仿宋" w:eastAsia="仿宋" w:cs="仿宋"/>
          <w:sz w:val="32"/>
          <w:szCs w:val="32"/>
        </w:rPr>
        <w:t>北京市经贸高级技术学校和北京市供销学校，</w:t>
      </w:r>
      <w:r>
        <w:rPr>
          <w:rFonts w:hint="eastAsia" w:ascii="仿宋" w:hAnsi="仿宋" w:eastAsia="仿宋" w:cs="仿宋"/>
          <w:sz w:val="32"/>
          <w:szCs w:val="32"/>
          <w:lang w:val="en-US" w:eastAsia="zh-CN"/>
        </w:rPr>
        <w:t>2020</w:t>
      </w:r>
      <w:r>
        <w:rPr>
          <w:rFonts w:hint="eastAsia" w:ascii="仿宋" w:hAnsi="仿宋" w:eastAsia="仿宋" w:cs="仿宋"/>
          <w:sz w:val="32"/>
          <w:szCs w:val="32"/>
        </w:rPr>
        <w:t>年在在加强内部控制管理的基础上，着力提高办学水平，进一步做好中等职业人才的培养工作，提高学校的竞争实力，为社会培养更多的实用中、高级专业技术人才。</w:t>
      </w:r>
    </w:p>
    <w:p>
      <w:pPr>
        <w:ind w:firstLine="555"/>
        <w:rPr>
          <w:rFonts w:hint="eastAsia" w:ascii="仿宋" w:hAnsi="仿宋" w:eastAsia="仿宋" w:cs="仿宋"/>
          <w:sz w:val="32"/>
          <w:szCs w:val="32"/>
        </w:rPr>
      </w:pPr>
      <w:r>
        <w:rPr>
          <w:rFonts w:hint="eastAsia" w:ascii="仿宋" w:hAnsi="仿宋" w:eastAsia="仿宋" w:cs="仿宋"/>
          <w:sz w:val="32"/>
          <w:szCs w:val="32"/>
        </w:rPr>
        <w:t>北京市供销干部学校</w:t>
      </w:r>
      <w:r>
        <w:rPr>
          <w:rFonts w:hint="eastAsia" w:ascii="仿宋" w:hAnsi="仿宋" w:eastAsia="仿宋" w:cs="仿宋"/>
          <w:sz w:val="32"/>
          <w:szCs w:val="32"/>
          <w:lang w:val="en-US" w:eastAsia="zh-CN"/>
        </w:rPr>
        <w:t>2020</w:t>
      </w:r>
      <w:r>
        <w:rPr>
          <w:rFonts w:hint="eastAsia" w:ascii="仿宋" w:hAnsi="仿宋" w:eastAsia="仿宋" w:cs="仿宋"/>
          <w:sz w:val="32"/>
          <w:szCs w:val="32"/>
        </w:rPr>
        <w:t xml:space="preserve">年继续发挥干部培训基地的作用，加强实用技能人才培训，不断提升实用人才的能力和素质。 </w:t>
      </w:r>
    </w:p>
    <w:p>
      <w:pPr>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二、2020年</w:t>
      </w:r>
      <w:r>
        <w:rPr>
          <w:rFonts w:hint="eastAsia" w:ascii="仿宋" w:hAnsi="仿宋" w:eastAsia="仿宋" w:cs="仿宋"/>
          <w:sz w:val="32"/>
          <w:szCs w:val="32"/>
        </w:rPr>
        <w:t>收入</w:t>
      </w:r>
      <w:r>
        <w:rPr>
          <w:rFonts w:hint="eastAsia" w:ascii="仿宋" w:hAnsi="仿宋" w:eastAsia="仿宋" w:cs="仿宋"/>
          <w:sz w:val="32"/>
          <w:szCs w:val="32"/>
          <w:lang w:eastAsia="zh-CN"/>
        </w:rPr>
        <w:t>及支出总体情况</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2020年收入预算11337.67万元，比2019年14498.59万元减少3160.92万元，下降21.8%。其中：财政拨款10979.85万元,比2019年14039.9万元减少3060.05万元，主要是2019年安排农业综合开发项目资金预算，2020年未安排，致使财政拨款收入预算减少额度较大</w:t>
      </w:r>
      <w:r>
        <w:rPr>
          <w:rFonts w:hint="eastAsia" w:ascii="仿宋" w:hAnsi="仿宋" w:eastAsia="仿宋" w:cs="仿宋"/>
          <w:sz w:val="32"/>
          <w:szCs w:val="32"/>
          <w:lang w:eastAsia="zh-CN"/>
        </w:rPr>
        <w:t>。</w:t>
      </w:r>
      <w:r>
        <w:rPr>
          <w:rFonts w:hint="eastAsia" w:ascii="仿宋" w:hAnsi="仿宋" w:eastAsia="仿宋" w:cs="仿宋"/>
          <w:sz w:val="32"/>
          <w:szCs w:val="32"/>
        </w:rPr>
        <w:t>统筹使用结余资金安排预算86万元,比2019年55.43万元增加30.57万元</w:t>
      </w:r>
      <w:r>
        <w:rPr>
          <w:rFonts w:hint="eastAsia" w:ascii="仿宋" w:hAnsi="仿宋" w:eastAsia="仿宋" w:cs="仿宋"/>
          <w:sz w:val="32"/>
          <w:szCs w:val="32"/>
          <w:lang w:eastAsia="zh-CN"/>
        </w:rPr>
        <w:t>，主要是按照预算政策将结余资金纳入预算</w:t>
      </w:r>
      <w:r>
        <w:rPr>
          <w:rFonts w:hint="eastAsia" w:ascii="仿宋" w:hAnsi="仿宋" w:eastAsia="仿宋" w:cs="仿宋"/>
          <w:sz w:val="32"/>
          <w:szCs w:val="32"/>
        </w:rPr>
        <w:t>；其他资金</w:t>
      </w:r>
      <w:r>
        <w:rPr>
          <w:rFonts w:hint="eastAsia" w:ascii="仿宋" w:hAnsi="仿宋" w:eastAsia="仿宋" w:cs="仿宋"/>
          <w:sz w:val="32"/>
          <w:szCs w:val="32"/>
          <w:lang w:val="en-US" w:eastAsia="zh-CN"/>
        </w:rPr>
        <w:t>271</w:t>
      </w:r>
      <w:r>
        <w:rPr>
          <w:rFonts w:hint="eastAsia" w:ascii="仿宋" w:hAnsi="仿宋" w:eastAsia="仿宋" w:cs="仿宋"/>
          <w:sz w:val="32"/>
          <w:szCs w:val="32"/>
        </w:rPr>
        <w:t>.82万元,比2019年403.26万元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131.44</w:t>
      </w:r>
      <w:r>
        <w:rPr>
          <w:rFonts w:hint="eastAsia" w:ascii="仿宋" w:hAnsi="仿宋" w:eastAsia="仿宋" w:cs="仿宋"/>
          <w:sz w:val="32"/>
          <w:szCs w:val="32"/>
        </w:rPr>
        <w:t>万元</w:t>
      </w:r>
      <w:r>
        <w:rPr>
          <w:rFonts w:hint="eastAsia" w:ascii="仿宋" w:hAnsi="仿宋" w:eastAsia="仿宋" w:cs="仿宋"/>
          <w:sz w:val="32"/>
          <w:szCs w:val="32"/>
          <w:lang w:eastAsia="zh-CN"/>
        </w:rPr>
        <w:t>，主要是事业单位对外培训等收入预算减少</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2020年支出预算11337.67万元，比</w:t>
      </w:r>
      <w:r>
        <w:rPr>
          <w:rFonts w:hint="eastAsia" w:ascii="仿宋" w:hAnsi="仿宋" w:eastAsia="仿宋" w:cs="仿宋"/>
          <w:sz w:val="32"/>
          <w:szCs w:val="32"/>
        </w:rPr>
        <w:t>2019年支出预算14498.59万元减少</w:t>
      </w:r>
      <w:r>
        <w:rPr>
          <w:rFonts w:hint="eastAsia" w:ascii="仿宋" w:hAnsi="仿宋" w:eastAsia="仿宋" w:cs="仿宋"/>
          <w:sz w:val="32"/>
          <w:szCs w:val="32"/>
          <w:lang w:val="en-US" w:eastAsia="zh-CN"/>
        </w:rPr>
        <w:t>3160.92</w:t>
      </w:r>
      <w:r>
        <w:rPr>
          <w:rFonts w:hint="eastAsia" w:ascii="仿宋" w:hAnsi="仿宋" w:eastAsia="仿宋" w:cs="仿宋"/>
          <w:sz w:val="32"/>
          <w:szCs w:val="32"/>
        </w:rPr>
        <w:t>万元，下降</w:t>
      </w:r>
      <w:r>
        <w:rPr>
          <w:rFonts w:hint="eastAsia" w:ascii="仿宋" w:hAnsi="仿宋" w:eastAsia="仿宋" w:cs="仿宋"/>
          <w:sz w:val="32"/>
          <w:szCs w:val="32"/>
          <w:lang w:val="en-US" w:eastAsia="zh-CN"/>
        </w:rPr>
        <w:t>21.80</w:t>
      </w:r>
      <w:r>
        <w:rPr>
          <w:rFonts w:hint="eastAsia" w:ascii="仿宋" w:hAnsi="仿宋" w:eastAsia="仿宋" w:cs="仿宋"/>
          <w:sz w:val="32"/>
          <w:szCs w:val="32"/>
        </w:rPr>
        <w:t>%。其中：财政拨款支出预算</w:t>
      </w:r>
      <w:r>
        <w:rPr>
          <w:rFonts w:hint="eastAsia" w:ascii="仿宋" w:hAnsi="仿宋" w:eastAsia="仿宋" w:cs="仿宋"/>
          <w:sz w:val="32"/>
          <w:szCs w:val="32"/>
          <w:lang w:val="en-US" w:eastAsia="zh-CN"/>
        </w:rPr>
        <w:t>10979.85万元,比2019年14039.9万元减少3060.05万元</w:t>
      </w:r>
      <w:r>
        <w:rPr>
          <w:rFonts w:hint="eastAsia" w:ascii="仿宋" w:hAnsi="仿宋" w:eastAsia="仿宋" w:cs="仿宋"/>
          <w:sz w:val="32"/>
          <w:szCs w:val="32"/>
        </w:rPr>
        <w:t>。</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三、主要支出情况</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（一）</w:t>
      </w:r>
      <w:r>
        <w:rPr>
          <w:rFonts w:hint="eastAsia" w:ascii="仿宋" w:hAnsi="仿宋" w:eastAsia="仿宋" w:cs="仿宋"/>
          <w:sz w:val="32"/>
          <w:szCs w:val="32"/>
        </w:rPr>
        <w:t>基本支出预算8503.16万元，占总支出预算</w:t>
      </w:r>
      <w:r>
        <w:rPr>
          <w:rFonts w:hint="eastAsia" w:ascii="仿宋" w:hAnsi="仿宋" w:eastAsia="仿宋" w:cs="仿宋"/>
          <w:sz w:val="32"/>
          <w:szCs w:val="32"/>
          <w:lang w:val="en-US" w:eastAsia="zh-CN"/>
        </w:rPr>
        <w:t>75</w:t>
      </w:r>
      <w:r>
        <w:rPr>
          <w:rFonts w:hint="eastAsia" w:ascii="仿宋" w:hAnsi="仿宋" w:eastAsia="仿宋" w:cs="仿宋"/>
          <w:sz w:val="32"/>
          <w:szCs w:val="32"/>
        </w:rPr>
        <w:t>%，比2019年8696.75万元减少193.6万元，下降2.23%</w:t>
      </w:r>
      <w:r>
        <w:rPr>
          <w:rFonts w:hint="eastAsia" w:ascii="仿宋" w:hAnsi="仿宋" w:eastAsia="仿宋" w:cs="仿宋"/>
          <w:sz w:val="32"/>
          <w:szCs w:val="32"/>
          <w:lang w:eastAsia="zh-CN"/>
        </w:rPr>
        <w:t>，同比基本持平。</w:t>
      </w:r>
    </w:p>
    <w:p>
      <w:pPr>
        <w:ind w:firstLine="555"/>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项目支出预算</w:t>
      </w:r>
      <w:r>
        <w:rPr>
          <w:rFonts w:hint="eastAsia" w:ascii="仿宋" w:hAnsi="仿宋" w:eastAsia="仿宋" w:cs="仿宋"/>
          <w:sz w:val="32"/>
          <w:szCs w:val="32"/>
          <w:lang w:val="en-US" w:eastAsia="zh-CN"/>
        </w:rPr>
        <w:t>2802</w:t>
      </w:r>
      <w:r>
        <w:rPr>
          <w:rFonts w:hint="eastAsia" w:ascii="仿宋" w:hAnsi="仿宋" w:eastAsia="仿宋" w:cs="仿宋"/>
          <w:sz w:val="32"/>
          <w:szCs w:val="32"/>
        </w:rPr>
        <w:t>.51万元，比2019年5592.16万元减少</w:t>
      </w:r>
      <w:r>
        <w:rPr>
          <w:rFonts w:hint="eastAsia" w:ascii="仿宋" w:hAnsi="仿宋" w:eastAsia="仿宋" w:cs="仿宋"/>
          <w:sz w:val="32"/>
          <w:szCs w:val="32"/>
          <w:lang w:val="en-US" w:eastAsia="zh-CN"/>
        </w:rPr>
        <w:t>2789.65</w:t>
      </w:r>
      <w:r>
        <w:rPr>
          <w:rFonts w:hint="eastAsia" w:ascii="仿宋" w:hAnsi="仿宋" w:eastAsia="仿宋" w:cs="仿宋"/>
          <w:sz w:val="32"/>
          <w:szCs w:val="32"/>
        </w:rPr>
        <w:t>万元，下降</w:t>
      </w:r>
      <w:r>
        <w:rPr>
          <w:rFonts w:hint="eastAsia" w:ascii="仿宋" w:hAnsi="仿宋" w:eastAsia="仿宋" w:cs="仿宋"/>
          <w:sz w:val="32"/>
          <w:szCs w:val="32"/>
          <w:lang w:val="en-US" w:eastAsia="zh-CN"/>
        </w:rPr>
        <w:t>49.89</w:t>
      </w:r>
      <w:r>
        <w:rPr>
          <w:rFonts w:hint="eastAsia" w:ascii="仿宋" w:hAnsi="仿宋" w:eastAsia="仿宋" w:cs="仿宋"/>
          <w:sz w:val="32"/>
          <w:szCs w:val="32"/>
        </w:rPr>
        <w:t>%，</w:t>
      </w:r>
      <w:r>
        <w:rPr>
          <w:rFonts w:hint="eastAsia" w:ascii="仿宋" w:hAnsi="仿宋" w:eastAsia="仿宋" w:cs="仿宋"/>
          <w:sz w:val="32"/>
          <w:szCs w:val="32"/>
          <w:lang w:eastAsia="zh-CN"/>
        </w:rPr>
        <w:t>主要是</w:t>
      </w:r>
      <w:r>
        <w:rPr>
          <w:rFonts w:hint="eastAsia" w:ascii="仿宋" w:hAnsi="仿宋" w:eastAsia="仿宋" w:cs="仿宋"/>
          <w:sz w:val="32"/>
          <w:szCs w:val="32"/>
          <w:lang w:val="en-US" w:eastAsia="zh-CN"/>
        </w:rPr>
        <w:t>2019年安排农业综合开发项目资金预算，2020年未安排</w:t>
      </w:r>
      <w:r>
        <w:rPr>
          <w:rFonts w:hint="eastAsia" w:ascii="仿宋" w:hAnsi="仿宋" w:eastAsia="仿宋" w:cs="仿宋"/>
          <w:sz w:val="32"/>
          <w:szCs w:val="32"/>
          <w:lang w:eastAsia="zh-CN"/>
        </w:rPr>
        <w:t>。</w:t>
      </w:r>
      <w:r>
        <w:rPr>
          <w:rFonts w:hint="eastAsia" w:ascii="仿宋" w:hAnsi="仿宋" w:eastAsia="仿宋" w:cs="仿宋"/>
          <w:sz w:val="32"/>
          <w:szCs w:val="32"/>
        </w:rPr>
        <w:t>部门预算项目主要为</w:t>
      </w:r>
      <w:r>
        <w:rPr>
          <w:rFonts w:hint="eastAsia" w:ascii="仿宋" w:hAnsi="仿宋" w:eastAsia="仿宋" w:cs="仿宋"/>
          <w:sz w:val="32"/>
          <w:szCs w:val="32"/>
          <w:lang w:eastAsia="zh-CN"/>
        </w:rPr>
        <w:t>教育支出项目</w:t>
      </w:r>
      <w:r>
        <w:rPr>
          <w:rFonts w:hint="eastAsia" w:ascii="仿宋" w:hAnsi="仿宋" w:eastAsia="仿宋" w:cs="仿宋"/>
          <w:sz w:val="32"/>
          <w:szCs w:val="32"/>
        </w:rPr>
        <w:t>经费。</w:t>
      </w:r>
      <w:r>
        <w:rPr>
          <w:rFonts w:hint="eastAsia" w:ascii="仿宋" w:hAnsi="仿宋" w:eastAsia="仿宋" w:cs="仿宋"/>
          <w:sz w:val="32"/>
          <w:szCs w:val="32"/>
        </w:rPr>
        <w:tab/>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四、部门“三公”经费财政拨款预算说明</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w:t>
      </w:r>
      <w:r>
        <w:rPr>
          <w:rFonts w:hint="eastAsia" w:ascii="仿宋" w:hAnsi="仿宋" w:eastAsia="仿宋" w:cs="仿宋"/>
          <w:sz w:val="32"/>
          <w:szCs w:val="32"/>
          <w:lang w:eastAsia="zh-CN"/>
        </w:rPr>
        <w:t>“三公经费”</w:t>
      </w:r>
      <w:r>
        <w:rPr>
          <w:rFonts w:hint="eastAsia" w:ascii="仿宋" w:hAnsi="仿宋" w:eastAsia="仿宋" w:cs="仿宋"/>
          <w:sz w:val="32"/>
          <w:szCs w:val="32"/>
        </w:rPr>
        <w:t>的单位范围</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北京市供销合作总社部门因公出国（境）费用、公务接待费、公务用车购置和运行维护费开支单位包括北京市经贸高级技术学校、北京市供销学校、北京市供销干部学校3个所属事业单位。</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（二）</w:t>
      </w:r>
      <w:r>
        <w:rPr>
          <w:rFonts w:hint="eastAsia" w:ascii="仿宋" w:hAnsi="仿宋" w:eastAsia="仿宋" w:cs="仿宋"/>
          <w:sz w:val="32"/>
          <w:szCs w:val="32"/>
          <w:lang w:eastAsia="zh-CN"/>
        </w:rPr>
        <w:t>“</w:t>
      </w:r>
      <w:r>
        <w:rPr>
          <w:rFonts w:hint="eastAsia" w:ascii="仿宋" w:hAnsi="仿宋" w:eastAsia="仿宋" w:cs="仿宋"/>
          <w:sz w:val="32"/>
          <w:szCs w:val="32"/>
        </w:rPr>
        <w:t>三公经费</w:t>
      </w:r>
      <w:r>
        <w:rPr>
          <w:rFonts w:hint="eastAsia" w:ascii="仿宋" w:hAnsi="仿宋" w:eastAsia="仿宋" w:cs="仿宋"/>
          <w:sz w:val="32"/>
          <w:szCs w:val="32"/>
          <w:lang w:eastAsia="zh-CN"/>
        </w:rPr>
        <w:t>”</w:t>
      </w:r>
      <w:r>
        <w:rPr>
          <w:rFonts w:hint="eastAsia" w:ascii="仿宋" w:hAnsi="仿宋" w:eastAsia="仿宋" w:cs="仿宋"/>
          <w:sz w:val="32"/>
          <w:szCs w:val="32"/>
        </w:rPr>
        <w:t>财政拨款情况说明</w:t>
      </w:r>
      <w:r>
        <w:rPr>
          <w:rFonts w:hint="eastAsia" w:ascii="仿宋" w:hAnsi="仿宋" w:eastAsia="仿宋" w:cs="仿宋"/>
          <w:sz w:val="32"/>
          <w:szCs w:val="32"/>
        </w:rPr>
        <w:tab/>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2020年</w:t>
      </w:r>
      <w:r>
        <w:rPr>
          <w:rFonts w:hint="eastAsia" w:ascii="仿宋" w:hAnsi="仿宋" w:eastAsia="仿宋" w:cs="仿宋"/>
          <w:sz w:val="32"/>
          <w:szCs w:val="32"/>
          <w:lang w:eastAsia="zh-CN"/>
        </w:rPr>
        <w:t>“三公经费”</w:t>
      </w:r>
      <w:r>
        <w:rPr>
          <w:rFonts w:hint="eastAsia" w:ascii="仿宋" w:hAnsi="仿宋" w:eastAsia="仿宋" w:cs="仿宋"/>
          <w:sz w:val="32"/>
          <w:szCs w:val="32"/>
        </w:rPr>
        <w:t>财政拨款预算38.25万元，比2019年</w:t>
      </w:r>
      <w:r>
        <w:rPr>
          <w:rFonts w:hint="eastAsia" w:ascii="仿宋" w:hAnsi="仿宋" w:eastAsia="仿宋" w:cs="仿宋"/>
          <w:sz w:val="32"/>
          <w:szCs w:val="32"/>
          <w:lang w:eastAsia="zh-CN"/>
        </w:rPr>
        <w:t>“三公经费”</w:t>
      </w:r>
      <w:r>
        <w:rPr>
          <w:rFonts w:hint="eastAsia" w:ascii="仿宋" w:hAnsi="仿宋" w:eastAsia="仿宋" w:cs="仿宋"/>
          <w:sz w:val="32"/>
          <w:szCs w:val="32"/>
        </w:rPr>
        <w:t>财政拨款预算减少41.71万元。其中：</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1、因公出国（境）费用。2020年预算数0万元，比2019年预算数0万元减少0万元，</w:t>
      </w:r>
      <w:r>
        <w:rPr>
          <w:rFonts w:hint="eastAsia" w:ascii="仿宋" w:hAnsi="仿宋" w:eastAsia="仿宋" w:cs="仿宋"/>
          <w:sz w:val="32"/>
          <w:szCs w:val="32"/>
          <w:lang w:eastAsia="zh-CN"/>
        </w:rPr>
        <w:t>与去年持平。</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2、公务接待费。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2020年预算数12.25万元，比2019年预算数15.77万元减少3.52万元，主要原因：落实八项规定要求，厉行节约，减少公务接待预算。2</w:t>
      </w:r>
      <w:r>
        <w:rPr>
          <w:rFonts w:hint="eastAsia" w:ascii="仿宋" w:hAnsi="仿宋" w:eastAsia="仿宋" w:cs="仿宋"/>
          <w:sz w:val="32"/>
          <w:szCs w:val="32"/>
          <w:lang w:val="en-US" w:eastAsia="zh-CN"/>
        </w:rPr>
        <w:t>020</w:t>
      </w:r>
      <w:r>
        <w:rPr>
          <w:rFonts w:hint="eastAsia" w:ascii="仿宋" w:hAnsi="仿宋" w:eastAsia="仿宋" w:cs="仿宋"/>
          <w:sz w:val="32"/>
          <w:szCs w:val="32"/>
        </w:rPr>
        <w:t>年公务接待费主要用于学校招生接待工作。</w:t>
      </w:r>
      <w:r>
        <w:rPr>
          <w:rFonts w:hint="eastAsia" w:ascii="仿宋" w:hAnsi="仿宋" w:eastAsia="仿宋" w:cs="仿宋"/>
          <w:sz w:val="32"/>
          <w:szCs w:val="32"/>
        </w:rPr>
        <w:tab/>
      </w:r>
    </w:p>
    <w:p>
      <w:pPr>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公务用车购置和运行维护费。2020年预算数26万元，其中，公务用车购置费2020年预算数0万元，比2019预算数34.58万元减少34.58万元，主要原因：2019年安排对所属事业单位部分不符合环保标准的国Ⅰ国Ⅱ老旧机动车进行报废更新，2019年新增更新购车</w:t>
      </w:r>
      <w:r>
        <w:rPr>
          <w:rFonts w:hint="eastAsia" w:ascii="仿宋" w:hAnsi="仿宋" w:eastAsia="仿宋" w:cs="仿宋"/>
          <w:sz w:val="32"/>
          <w:szCs w:val="32"/>
          <w:lang w:val="en-US" w:eastAsia="zh-CN"/>
        </w:rPr>
        <w:t>2</w:t>
      </w:r>
      <w:r>
        <w:rPr>
          <w:rFonts w:hint="eastAsia" w:ascii="仿宋" w:hAnsi="仿宋" w:eastAsia="仿宋" w:cs="仿宋"/>
          <w:sz w:val="32"/>
          <w:szCs w:val="32"/>
        </w:rPr>
        <w:t>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2020年未安排车辆更新购置预算</w:t>
      </w:r>
      <w:r>
        <w:rPr>
          <w:rFonts w:hint="eastAsia" w:ascii="仿宋" w:hAnsi="仿宋" w:eastAsia="仿宋" w:cs="仿宋"/>
          <w:sz w:val="32"/>
          <w:szCs w:val="32"/>
        </w:rPr>
        <w:t>；公务用车运行维护费2020年预算数26万元，其中：公务用车加油7.65万元，公务用车维修5.85万元，公务用车保险4.85万元，其他7.65万元。比2019预算数29.61万元减少3.61万元，主要原</w:t>
      </w:r>
      <w:r>
        <w:rPr>
          <w:rFonts w:hint="eastAsia" w:ascii="仿宋" w:hAnsi="仿宋" w:eastAsia="仿宋" w:cs="仿宋"/>
          <w:sz w:val="32"/>
          <w:szCs w:val="32"/>
          <w:lang w:val="en-US" w:eastAsia="zh-CN"/>
        </w:rPr>
        <w:t>因：压缩公务用车运行成本，在保障公务运行需要的原则下，尽力减少公务用车出行，但由于车辆普遍老旧，车况较差，运行维护成本较高。</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五、其他情况说明</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（一）部门政府采购预算说明</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2020年北京市供销合作总社部门政府采购预算总额1316.15万元，其中：政府采购货物预算490.99万元，政府采购工程预算655.60万元，政府采购服务预算169.55万元。</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（二）政府购买服务预算说明</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本部门2020年无政府购买服务预算。</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（三）机关运行经费情况说明</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我单位不在机关运行经费统计范围之内。</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（四）项目支出绩效目标情况说明</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2020年，北京市供销合作总社填报绩效目标的预算项目13个，占全部预算项目25个的52%。填报绩效目标的项目支出预算2252.96万元，占全部项目支出预算的80.39%。</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（五）重点行政事业性收费情况说明</w:t>
      </w:r>
      <w:r>
        <w:rPr>
          <w:rFonts w:hint="eastAsia" w:ascii="仿宋" w:hAnsi="仿宋" w:eastAsia="仿宋" w:cs="仿宋"/>
          <w:sz w:val="32"/>
          <w:szCs w:val="32"/>
          <w:lang w:val="en-US" w:eastAsia="zh-CN"/>
        </w:rPr>
        <w:tab/>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本部门2020年无重点行政事业性收费。</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（六）国有资本经营预算财政拨款情况说明</w:t>
      </w:r>
      <w:r>
        <w:rPr>
          <w:rFonts w:hint="eastAsia" w:ascii="仿宋" w:hAnsi="仿宋" w:eastAsia="仿宋" w:cs="仿宋"/>
          <w:sz w:val="32"/>
          <w:szCs w:val="32"/>
          <w:lang w:val="en-US" w:eastAsia="zh-CN"/>
        </w:rPr>
        <w:tab/>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本部门2020年无国有资本经营预算财政拨款安排的预算。</w:t>
      </w:r>
    </w:p>
    <w:p>
      <w:pPr>
        <w:numPr>
          <w:ilvl w:val="0"/>
          <w:numId w:val="1"/>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国有资产占用情况说明</w:t>
      </w:r>
    </w:p>
    <w:p>
      <w:pPr>
        <w:ind w:firstLine="645"/>
        <w:rPr>
          <w:rFonts w:hint="eastAsia" w:ascii="仿宋" w:hAnsi="仿宋" w:eastAsia="仿宋" w:cs="仿宋"/>
          <w:sz w:val="32"/>
          <w:szCs w:val="32"/>
        </w:rPr>
      </w:pPr>
      <w:r>
        <w:rPr>
          <w:rFonts w:hint="eastAsia" w:ascii="仿宋" w:hAnsi="仿宋" w:eastAsia="仿宋" w:cs="仿宋"/>
          <w:sz w:val="32"/>
          <w:szCs w:val="32"/>
          <w:lang w:val="en-US" w:eastAsia="zh-CN"/>
        </w:rPr>
        <w:t>截至2019年底，北京市供销合作总社部门共有车辆15台、244.42万元；</w:t>
      </w:r>
      <w:r>
        <w:rPr>
          <w:rFonts w:hint="eastAsia" w:ascii="仿宋" w:hAnsi="仿宋" w:eastAsia="仿宋" w:cs="仿宋"/>
          <w:sz w:val="32"/>
          <w:szCs w:val="32"/>
        </w:rPr>
        <w:t>单位价值50万元以上的通用设备2</w:t>
      </w:r>
      <w:r>
        <w:rPr>
          <w:rFonts w:hint="eastAsia" w:ascii="仿宋" w:hAnsi="仿宋" w:eastAsia="仿宋" w:cs="仿宋"/>
          <w:sz w:val="32"/>
          <w:szCs w:val="32"/>
          <w:lang w:val="en-US" w:eastAsia="zh-CN"/>
        </w:rPr>
        <w:t>3</w:t>
      </w:r>
      <w:r>
        <w:rPr>
          <w:rFonts w:hint="eastAsia" w:ascii="仿宋" w:hAnsi="仿宋" w:eastAsia="仿宋" w:cs="仿宋"/>
          <w:sz w:val="32"/>
          <w:szCs w:val="32"/>
        </w:rPr>
        <w:t>台（套）、</w:t>
      </w:r>
      <w:r>
        <w:rPr>
          <w:rFonts w:hint="eastAsia" w:ascii="仿宋" w:hAnsi="仿宋" w:eastAsia="仿宋" w:cs="仿宋"/>
          <w:sz w:val="32"/>
          <w:szCs w:val="32"/>
          <w:lang w:val="en-US" w:eastAsia="zh-CN"/>
        </w:rPr>
        <w:t>2862.30</w:t>
      </w:r>
      <w:r>
        <w:rPr>
          <w:rFonts w:hint="eastAsia" w:ascii="仿宋" w:hAnsi="仿宋" w:eastAsia="仿宋" w:cs="仿宋"/>
          <w:sz w:val="32"/>
          <w:szCs w:val="32"/>
        </w:rPr>
        <w:t>万元，单位价值100万元以上的专用设备8台（套）、1495.19万元。</w:t>
      </w:r>
    </w:p>
    <w:p>
      <w:pPr>
        <w:numPr>
          <w:ilvl w:val="0"/>
          <w:numId w:val="0"/>
        </w:numPr>
        <w:ind w:firstLine="640"/>
        <w:rPr>
          <w:rFonts w:hint="eastAsia" w:ascii="仿宋" w:hAnsi="仿宋" w:eastAsia="仿宋" w:cs="仿宋"/>
          <w:sz w:val="32"/>
          <w:szCs w:val="32"/>
          <w:lang w:val="en-US" w:eastAsia="zh-CN"/>
        </w:rPr>
      </w:pPr>
    </w:p>
    <w:p>
      <w:pPr>
        <w:numPr>
          <w:ilvl w:val="0"/>
          <w:numId w:val="2"/>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名词解释</w:t>
      </w:r>
    </w:p>
    <w:p>
      <w:pPr>
        <w:ind w:firstLine="645"/>
        <w:rPr>
          <w:rFonts w:hint="eastAsia" w:ascii="仿宋" w:hAnsi="仿宋" w:eastAsia="仿宋" w:cs="仿宋"/>
          <w:sz w:val="32"/>
          <w:szCs w:val="32"/>
        </w:rPr>
      </w:pPr>
      <w:r>
        <w:rPr>
          <w:rFonts w:hint="eastAsia" w:ascii="仿宋" w:hAnsi="仿宋" w:eastAsia="仿宋" w:cs="仿宋"/>
          <w:sz w:val="32"/>
          <w:szCs w:val="32"/>
        </w:rPr>
        <w:t>“三公”经费财政拨款预算数:指本部门当年部门预算安排的因公出国（境）费用、公务接待费、公务用车购置和运行维护费预算数。</w:t>
      </w:r>
    </w:p>
    <w:p>
      <w:pPr>
        <w:ind w:firstLine="645"/>
        <w:rPr>
          <w:rFonts w:hint="eastAsia" w:ascii="仿宋" w:hAnsi="仿宋" w:eastAsia="仿宋" w:cs="仿宋"/>
          <w:sz w:val="32"/>
          <w:szCs w:val="32"/>
        </w:rPr>
      </w:pPr>
      <w:r>
        <w:rPr>
          <w:rFonts w:hint="eastAsia" w:ascii="仿宋" w:hAnsi="仿宋" w:eastAsia="仿宋" w:cs="仿宋"/>
          <w:sz w:val="32"/>
          <w:szCs w:val="32"/>
        </w:rPr>
        <w:t>“三农”工作：三农是指农村、农业和农民，所谓“三农”工作，就是指围绕农业、农村、农民开展工作，主要解决农民增收、农业增长、农村稳定等问题。</w:t>
      </w:r>
    </w:p>
    <w:p>
      <w:pPr>
        <w:ind w:firstLine="645"/>
        <w:rPr>
          <w:rFonts w:hint="eastAsia" w:ascii="仿宋" w:hAnsi="仿宋" w:eastAsia="仿宋" w:cs="仿宋"/>
          <w:sz w:val="32"/>
          <w:szCs w:val="32"/>
        </w:rPr>
      </w:pPr>
    </w:p>
    <w:p>
      <w:pPr>
        <w:ind w:firstLine="645"/>
        <w:jc w:val="center"/>
        <w:rPr>
          <w:rFonts w:hint="eastAsia" w:ascii="仿宋" w:hAnsi="仿宋" w:eastAsia="仿宋" w:cs="仿宋"/>
          <w:sz w:val="32"/>
          <w:szCs w:val="32"/>
        </w:rPr>
      </w:pPr>
    </w:p>
    <w:p>
      <w:pPr>
        <w:numPr>
          <w:ilvl w:val="0"/>
          <w:numId w:val="0"/>
        </w:numPr>
        <w:jc w:val="both"/>
        <w:rPr>
          <w:rFonts w:hint="eastAsia" w:ascii="黑体" w:hAnsi="黑体" w:eastAsia="黑体" w:cs="黑体"/>
          <w:sz w:val="36"/>
          <w:szCs w:val="36"/>
          <w:lang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6"/>
          <w:szCs w:val="36"/>
          <w:lang w:eastAsia="zh-CN"/>
        </w:rPr>
        <w:t xml:space="preserve">第二部分   </w:t>
      </w:r>
      <w:r>
        <w:rPr>
          <w:rFonts w:hint="eastAsia" w:ascii="黑体" w:hAnsi="黑体" w:eastAsia="黑体" w:cs="黑体"/>
          <w:sz w:val="36"/>
          <w:szCs w:val="36"/>
          <w:lang w:val="en-US" w:eastAsia="zh-CN"/>
        </w:rPr>
        <w:t>2020</w:t>
      </w:r>
      <w:r>
        <w:rPr>
          <w:rFonts w:hint="eastAsia" w:ascii="黑体" w:hAnsi="黑体" w:eastAsia="黑体" w:cs="黑体"/>
          <w:sz w:val="36"/>
          <w:szCs w:val="36"/>
          <w:lang w:eastAsia="zh-CN"/>
        </w:rPr>
        <w:t>年度部门预算报表</w:t>
      </w:r>
    </w:p>
    <w:p>
      <w:pPr>
        <w:ind w:firstLine="645"/>
        <w:rPr>
          <w:rFonts w:hint="eastAsia" w:ascii="仿宋" w:hAnsi="仿宋" w:eastAsia="仿宋" w:cs="仿宋"/>
          <w:sz w:val="32"/>
          <w:szCs w:val="32"/>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rPr>
        <w:tab/>
      </w:r>
      <w:r>
        <w:rPr>
          <w:rFonts w:hint="eastAsia" w:ascii="仿宋" w:hAnsi="仿宋" w:eastAsia="仿宋" w:cs="仿宋"/>
          <w:sz w:val="32"/>
          <w:szCs w:val="32"/>
        </w:rPr>
        <w:t>北京市供销合作总社20</w:t>
      </w:r>
      <w:r>
        <w:rPr>
          <w:rFonts w:hint="eastAsia" w:ascii="仿宋" w:hAnsi="仿宋" w:eastAsia="仿宋" w:cs="仿宋"/>
          <w:sz w:val="32"/>
          <w:szCs w:val="32"/>
          <w:lang w:val="en-US" w:eastAsia="zh-CN"/>
        </w:rPr>
        <w:t>20</w:t>
      </w:r>
      <w:r>
        <w:rPr>
          <w:rFonts w:hint="eastAsia" w:ascii="仿宋" w:hAnsi="仿宋" w:eastAsia="仿宋" w:cs="仿宋"/>
          <w:sz w:val="32"/>
          <w:szCs w:val="32"/>
        </w:rPr>
        <w:t>年度部门预算报表</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80535A"/>
    <w:multiLevelType w:val="singleLevel"/>
    <w:tmpl w:val="9F80535A"/>
    <w:lvl w:ilvl="0" w:tentative="0">
      <w:start w:val="6"/>
      <w:numFmt w:val="chineseCounting"/>
      <w:suff w:val="nothing"/>
      <w:lvlText w:val="%1、"/>
      <w:lvlJc w:val="left"/>
      <w:rPr>
        <w:rFonts w:hint="eastAsia"/>
      </w:rPr>
    </w:lvl>
  </w:abstractNum>
  <w:abstractNum w:abstractNumId="1">
    <w:nsid w:val="6534431E"/>
    <w:multiLevelType w:val="singleLevel"/>
    <w:tmpl w:val="6534431E"/>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005EA"/>
    <w:rsid w:val="09D5096A"/>
    <w:rsid w:val="10852BA9"/>
    <w:rsid w:val="15AE53C4"/>
    <w:rsid w:val="1AC97B5B"/>
    <w:rsid w:val="1C4B6AC2"/>
    <w:rsid w:val="1CF15DDA"/>
    <w:rsid w:val="2152657F"/>
    <w:rsid w:val="28D4190E"/>
    <w:rsid w:val="2B550B21"/>
    <w:rsid w:val="33A11CBE"/>
    <w:rsid w:val="341A79CD"/>
    <w:rsid w:val="3A992175"/>
    <w:rsid w:val="505D7E4F"/>
    <w:rsid w:val="53DD096B"/>
    <w:rsid w:val="55E5505B"/>
    <w:rsid w:val="571F19D9"/>
    <w:rsid w:val="5790755D"/>
    <w:rsid w:val="582E5A75"/>
    <w:rsid w:val="582F6580"/>
    <w:rsid w:val="5CCB2DF5"/>
    <w:rsid w:val="6F291180"/>
    <w:rsid w:val="74C257C1"/>
    <w:rsid w:val="75C7291F"/>
    <w:rsid w:val="799073D5"/>
    <w:rsid w:val="7B077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liusl</dc:creator>
  <cp:lastModifiedBy>刘双利</cp:lastModifiedBy>
  <dcterms:modified xsi:type="dcterms:W3CDTF">2020-02-19T09:35:50Z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